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21F155" w14:textId="77777777" w:rsidR="00954C23" w:rsidRDefault="00954C23" w:rsidP="00954C23">
      <w:pPr>
        <w:spacing w:line="480" w:lineRule="auto"/>
        <w:ind w:firstLine="720"/>
        <w:rPr>
          <w:rFonts w:ascii="Times New Roman" w:hAnsi="Times New Roman" w:cs="Times New Roman"/>
          <w:sz w:val="24"/>
          <w:szCs w:val="24"/>
        </w:rPr>
      </w:pPr>
      <w:bookmarkStart w:id="0" w:name="_GoBack"/>
      <w:bookmarkEnd w:id="0"/>
    </w:p>
    <w:p w14:paraId="655A7FED" w14:textId="56AF9A8B" w:rsidR="00954C23" w:rsidRPr="00954C23" w:rsidRDefault="00954C23" w:rsidP="00954C23">
      <w:pPr>
        <w:spacing w:line="480" w:lineRule="auto"/>
        <w:ind w:firstLine="720"/>
        <w:jc w:val="center"/>
        <w:rPr>
          <w:rFonts w:ascii="Times New Roman" w:hAnsi="Times New Roman" w:cs="Times New Roman"/>
          <w:b/>
          <w:bCs/>
          <w:sz w:val="24"/>
          <w:szCs w:val="24"/>
        </w:rPr>
      </w:pPr>
      <w:r w:rsidRPr="00954C23">
        <w:rPr>
          <w:rFonts w:ascii="Times New Roman" w:hAnsi="Times New Roman" w:cs="Times New Roman"/>
          <w:b/>
          <w:bCs/>
          <w:sz w:val="24"/>
          <w:szCs w:val="24"/>
        </w:rPr>
        <w:t>Oxbryta (Voxelotor).</w:t>
      </w:r>
    </w:p>
    <w:p w14:paraId="709E99D6" w14:textId="77777777" w:rsidR="00954C23" w:rsidRPr="00954C23" w:rsidRDefault="00954C23" w:rsidP="00954C23">
      <w:pPr>
        <w:spacing w:line="480" w:lineRule="auto"/>
        <w:ind w:firstLine="720"/>
        <w:jc w:val="center"/>
        <w:rPr>
          <w:rFonts w:ascii="Times New Roman" w:hAnsi="Times New Roman" w:cs="Times New Roman"/>
          <w:sz w:val="24"/>
          <w:szCs w:val="24"/>
        </w:rPr>
      </w:pPr>
      <w:r w:rsidRPr="00954C23">
        <w:rPr>
          <w:rFonts w:ascii="Times New Roman" w:hAnsi="Times New Roman" w:cs="Times New Roman"/>
          <w:sz w:val="24"/>
          <w:szCs w:val="24"/>
        </w:rPr>
        <w:t>Student’s name.</w:t>
      </w:r>
    </w:p>
    <w:p w14:paraId="0F80A1ED" w14:textId="77777777" w:rsidR="00954C23" w:rsidRPr="00954C23" w:rsidRDefault="00954C23" w:rsidP="00954C23">
      <w:pPr>
        <w:spacing w:line="480" w:lineRule="auto"/>
        <w:ind w:firstLine="720"/>
        <w:jc w:val="center"/>
        <w:rPr>
          <w:rFonts w:ascii="Times New Roman" w:hAnsi="Times New Roman" w:cs="Times New Roman"/>
          <w:sz w:val="24"/>
          <w:szCs w:val="24"/>
        </w:rPr>
      </w:pPr>
      <w:r w:rsidRPr="00954C23">
        <w:rPr>
          <w:rFonts w:ascii="Times New Roman" w:hAnsi="Times New Roman" w:cs="Times New Roman"/>
          <w:sz w:val="24"/>
          <w:szCs w:val="24"/>
        </w:rPr>
        <w:t>Institutional affiliation.</w:t>
      </w:r>
    </w:p>
    <w:p w14:paraId="54D0CC40" w14:textId="77777777" w:rsidR="00954C23" w:rsidRPr="00954C23" w:rsidRDefault="00954C23" w:rsidP="00954C23">
      <w:pPr>
        <w:spacing w:line="480" w:lineRule="auto"/>
        <w:ind w:firstLine="720"/>
        <w:jc w:val="center"/>
        <w:rPr>
          <w:rFonts w:ascii="Times New Roman" w:hAnsi="Times New Roman" w:cs="Times New Roman"/>
          <w:sz w:val="24"/>
          <w:szCs w:val="24"/>
        </w:rPr>
      </w:pPr>
      <w:r w:rsidRPr="00954C23">
        <w:rPr>
          <w:rFonts w:ascii="Times New Roman" w:hAnsi="Times New Roman" w:cs="Times New Roman"/>
          <w:sz w:val="24"/>
          <w:szCs w:val="24"/>
        </w:rPr>
        <w:t>Course name.</w:t>
      </w:r>
    </w:p>
    <w:p w14:paraId="69389434" w14:textId="77777777" w:rsidR="00954C23" w:rsidRPr="00954C23" w:rsidRDefault="00954C23" w:rsidP="00954C23">
      <w:pPr>
        <w:spacing w:line="480" w:lineRule="auto"/>
        <w:ind w:firstLine="720"/>
        <w:jc w:val="center"/>
        <w:rPr>
          <w:rFonts w:ascii="Times New Roman" w:hAnsi="Times New Roman" w:cs="Times New Roman"/>
          <w:sz w:val="24"/>
          <w:szCs w:val="24"/>
        </w:rPr>
      </w:pPr>
      <w:r w:rsidRPr="00954C23">
        <w:rPr>
          <w:rFonts w:ascii="Times New Roman" w:hAnsi="Times New Roman" w:cs="Times New Roman"/>
          <w:sz w:val="24"/>
          <w:szCs w:val="24"/>
        </w:rPr>
        <w:t>Course number.</w:t>
      </w:r>
    </w:p>
    <w:p w14:paraId="53100151" w14:textId="3A9A90BE" w:rsidR="00954C23" w:rsidRDefault="00954C23" w:rsidP="00954C23">
      <w:pPr>
        <w:spacing w:line="480" w:lineRule="auto"/>
        <w:ind w:firstLine="720"/>
        <w:jc w:val="center"/>
        <w:rPr>
          <w:rFonts w:ascii="Times New Roman" w:hAnsi="Times New Roman" w:cs="Times New Roman"/>
          <w:sz w:val="24"/>
          <w:szCs w:val="24"/>
        </w:rPr>
      </w:pPr>
      <w:r w:rsidRPr="00954C23">
        <w:rPr>
          <w:rFonts w:ascii="Times New Roman" w:hAnsi="Times New Roman" w:cs="Times New Roman"/>
          <w:sz w:val="24"/>
          <w:szCs w:val="24"/>
        </w:rPr>
        <w:t>Date of submission</w:t>
      </w:r>
    </w:p>
    <w:p w14:paraId="706B4FD9" w14:textId="77777777" w:rsidR="00954C23" w:rsidRDefault="00954C23" w:rsidP="00954C23">
      <w:pPr>
        <w:spacing w:line="480" w:lineRule="auto"/>
        <w:ind w:firstLine="720"/>
        <w:rPr>
          <w:rFonts w:ascii="Times New Roman" w:hAnsi="Times New Roman" w:cs="Times New Roman"/>
          <w:sz w:val="24"/>
          <w:szCs w:val="24"/>
        </w:rPr>
      </w:pPr>
    </w:p>
    <w:p w14:paraId="267A1607" w14:textId="77777777" w:rsidR="00954C23" w:rsidRDefault="00954C23" w:rsidP="00954C23">
      <w:pPr>
        <w:spacing w:line="480" w:lineRule="auto"/>
        <w:ind w:firstLine="720"/>
        <w:rPr>
          <w:rFonts w:ascii="Times New Roman" w:hAnsi="Times New Roman" w:cs="Times New Roman"/>
          <w:sz w:val="24"/>
          <w:szCs w:val="24"/>
        </w:rPr>
      </w:pPr>
    </w:p>
    <w:p w14:paraId="3E0F9BAF" w14:textId="77777777" w:rsidR="00954C23" w:rsidRDefault="00954C23" w:rsidP="00954C23">
      <w:pPr>
        <w:spacing w:line="480" w:lineRule="auto"/>
        <w:ind w:firstLine="720"/>
        <w:rPr>
          <w:rFonts w:ascii="Times New Roman" w:hAnsi="Times New Roman" w:cs="Times New Roman"/>
          <w:sz w:val="24"/>
          <w:szCs w:val="24"/>
        </w:rPr>
      </w:pPr>
    </w:p>
    <w:p w14:paraId="2932354B" w14:textId="77777777" w:rsidR="00954C23" w:rsidRDefault="00954C23" w:rsidP="00954C23">
      <w:pPr>
        <w:spacing w:line="480" w:lineRule="auto"/>
        <w:ind w:firstLine="720"/>
        <w:rPr>
          <w:rFonts w:ascii="Times New Roman" w:hAnsi="Times New Roman" w:cs="Times New Roman"/>
          <w:sz w:val="24"/>
          <w:szCs w:val="24"/>
        </w:rPr>
      </w:pPr>
    </w:p>
    <w:p w14:paraId="7A319C63" w14:textId="77777777" w:rsidR="00954C23" w:rsidRDefault="00954C23" w:rsidP="00954C23">
      <w:pPr>
        <w:spacing w:line="480" w:lineRule="auto"/>
        <w:ind w:firstLine="720"/>
        <w:rPr>
          <w:rFonts w:ascii="Times New Roman" w:hAnsi="Times New Roman" w:cs="Times New Roman"/>
          <w:sz w:val="24"/>
          <w:szCs w:val="24"/>
        </w:rPr>
      </w:pPr>
    </w:p>
    <w:p w14:paraId="08A0D991" w14:textId="77777777" w:rsidR="00954C23" w:rsidRDefault="00954C23" w:rsidP="00954C23">
      <w:pPr>
        <w:spacing w:line="480" w:lineRule="auto"/>
        <w:ind w:firstLine="720"/>
        <w:rPr>
          <w:rFonts w:ascii="Times New Roman" w:hAnsi="Times New Roman" w:cs="Times New Roman"/>
          <w:sz w:val="24"/>
          <w:szCs w:val="24"/>
        </w:rPr>
      </w:pPr>
    </w:p>
    <w:p w14:paraId="7E097C20" w14:textId="77777777" w:rsidR="00954C23" w:rsidRDefault="00954C23" w:rsidP="00954C23">
      <w:pPr>
        <w:spacing w:line="480" w:lineRule="auto"/>
        <w:ind w:firstLine="720"/>
        <w:rPr>
          <w:rFonts w:ascii="Times New Roman" w:hAnsi="Times New Roman" w:cs="Times New Roman"/>
          <w:sz w:val="24"/>
          <w:szCs w:val="24"/>
        </w:rPr>
      </w:pPr>
    </w:p>
    <w:p w14:paraId="0CC6E8BB" w14:textId="77777777" w:rsidR="00954C23" w:rsidRDefault="00954C23" w:rsidP="00954C23">
      <w:pPr>
        <w:spacing w:line="480" w:lineRule="auto"/>
        <w:ind w:firstLine="720"/>
        <w:rPr>
          <w:rFonts w:ascii="Times New Roman" w:hAnsi="Times New Roman" w:cs="Times New Roman"/>
          <w:sz w:val="24"/>
          <w:szCs w:val="24"/>
        </w:rPr>
      </w:pPr>
    </w:p>
    <w:p w14:paraId="7FEB72A1" w14:textId="77777777" w:rsidR="00954C23" w:rsidRDefault="00954C23" w:rsidP="00954C23">
      <w:pPr>
        <w:spacing w:line="480" w:lineRule="auto"/>
        <w:ind w:firstLine="720"/>
        <w:rPr>
          <w:rFonts w:ascii="Times New Roman" w:hAnsi="Times New Roman" w:cs="Times New Roman"/>
          <w:sz w:val="24"/>
          <w:szCs w:val="24"/>
        </w:rPr>
      </w:pPr>
    </w:p>
    <w:p w14:paraId="500168DB" w14:textId="77777777" w:rsidR="00954C23" w:rsidRDefault="00954C23" w:rsidP="002E7B38">
      <w:pPr>
        <w:spacing w:line="480" w:lineRule="auto"/>
        <w:rPr>
          <w:rFonts w:ascii="Times New Roman" w:hAnsi="Times New Roman" w:cs="Times New Roman"/>
          <w:sz w:val="24"/>
          <w:szCs w:val="24"/>
        </w:rPr>
      </w:pPr>
    </w:p>
    <w:p w14:paraId="217BE2A7" w14:textId="6DA78E0D" w:rsidR="00273E6F" w:rsidRPr="00954C23" w:rsidRDefault="00425E2E" w:rsidP="00954C23">
      <w:pPr>
        <w:spacing w:line="480" w:lineRule="auto"/>
        <w:ind w:firstLine="720"/>
        <w:rPr>
          <w:rFonts w:ascii="Times New Roman" w:hAnsi="Times New Roman" w:cs="Times New Roman"/>
          <w:sz w:val="24"/>
          <w:szCs w:val="24"/>
        </w:rPr>
      </w:pPr>
      <w:r w:rsidRPr="00954C23">
        <w:rPr>
          <w:rFonts w:ascii="Times New Roman" w:hAnsi="Times New Roman" w:cs="Times New Roman"/>
          <w:sz w:val="24"/>
          <w:szCs w:val="24"/>
        </w:rPr>
        <w:lastRenderedPageBreak/>
        <w:t xml:space="preserve">Approval of any drug in the united states is done by the Food and Drug Administration (FDA). Therefore, any proposed medication regarding any disease is regulated and goes through the assessment before being allowed into the market for use in the treatment of diseases. Sickle cell anemia is an inheritable disorder affecting the red blood cells by making them unhealthy to transport and supply enough oxygen in the entire body. This paper describes a new drug that has been approved recently for the treatment and control of the disease, which has been rampant in the country for a long time. Oxbryta </w:t>
      </w:r>
      <w:r w:rsidR="000F0CC0" w:rsidRPr="00954C23">
        <w:rPr>
          <w:rFonts w:ascii="Times New Roman" w:hAnsi="Times New Roman" w:cs="Times New Roman"/>
          <w:sz w:val="24"/>
          <w:szCs w:val="24"/>
        </w:rPr>
        <w:t>(voxelotor</w:t>
      </w:r>
      <w:r w:rsidRPr="00954C23">
        <w:rPr>
          <w:rFonts w:ascii="Times New Roman" w:hAnsi="Times New Roman" w:cs="Times New Roman"/>
          <w:sz w:val="24"/>
          <w:szCs w:val="24"/>
        </w:rPr>
        <w:t xml:space="preserve">) </w:t>
      </w:r>
      <w:r w:rsidR="000F0CC0" w:rsidRPr="00954C23">
        <w:rPr>
          <w:rFonts w:ascii="Times New Roman" w:hAnsi="Times New Roman" w:cs="Times New Roman"/>
          <w:sz w:val="24"/>
          <w:szCs w:val="24"/>
        </w:rPr>
        <w:t>has been approved as a new drug to be used in the medication of sickle cell anemia. This is one of the recently proposed solutions to the life-threatening disease.</w:t>
      </w:r>
    </w:p>
    <w:p w14:paraId="2967F171" w14:textId="7DDA3498" w:rsidR="000F0CC0" w:rsidRPr="00954C23" w:rsidRDefault="00425E2E" w:rsidP="00954C23">
      <w:pPr>
        <w:spacing w:line="480" w:lineRule="auto"/>
        <w:ind w:firstLine="720"/>
        <w:rPr>
          <w:rFonts w:ascii="Times New Roman" w:hAnsi="Times New Roman" w:cs="Times New Roman"/>
          <w:sz w:val="24"/>
          <w:szCs w:val="24"/>
        </w:rPr>
      </w:pPr>
      <w:r w:rsidRPr="00954C23">
        <w:rPr>
          <w:rFonts w:ascii="Times New Roman" w:hAnsi="Times New Roman" w:cs="Times New Roman"/>
          <w:sz w:val="24"/>
          <w:szCs w:val="24"/>
        </w:rPr>
        <w:t xml:space="preserve">With an increased demand for blood transfusion with increased diseases that require such treatment, this new drug becomes one of the </w:t>
      </w:r>
      <w:r w:rsidR="00245659" w:rsidRPr="00954C23">
        <w:rPr>
          <w:rFonts w:ascii="Times New Roman" w:hAnsi="Times New Roman" w:cs="Times New Roman"/>
          <w:sz w:val="24"/>
          <w:szCs w:val="24"/>
        </w:rPr>
        <w:t>solutions</w:t>
      </w:r>
      <w:r w:rsidRPr="00954C23">
        <w:rPr>
          <w:rFonts w:ascii="Times New Roman" w:hAnsi="Times New Roman" w:cs="Times New Roman"/>
          <w:sz w:val="24"/>
          <w:szCs w:val="24"/>
        </w:rPr>
        <w:t xml:space="preserve"> to the medication of sickle cell anemia. Before the drug, the medication used to treat the disease was blood </w:t>
      </w:r>
      <w:r w:rsidR="00245659" w:rsidRPr="00954C23">
        <w:rPr>
          <w:rFonts w:ascii="Times New Roman" w:hAnsi="Times New Roman" w:cs="Times New Roman"/>
          <w:sz w:val="24"/>
          <w:szCs w:val="24"/>
        </w:rPr>
        <w:t>transfusion, which was done to improve the ability and immunity of the red blood cells from being weakened by the sickle cells. With the increased demand for blood, patients have been facing a hard time accessing the blood for transfusion</w:t>
      </w:r>
      <w:r w:rsidR="00954C23" w:rsidRPr="00954C23">
        <w:rPr>
          <w:rFonts w:ascii="Times New Roman" w:hAnsi="Times New Roman" w:cs="Times New Roman"/>
          <w:sz w:val="24"/>
          <w:szCs w:val="24"/>
        </w:rPr>
        <w:t xml:space="preserve"> </w:t>
      </w:r>
      <w:r w:rsidR="00954C23">
        <w:rPr>
          <w:rFonts w:ascii="Times New Roman" w:hAnsi="Times New Roman" w:cs="Times New Roman"/>
          <w:sz w:val="24"/>
          <w:szCs w:val="24"/>
        </w:rPr>
        <w:t>(</w:t>
      </w:r>
      <w:r w:rsidR="00954C23" w:rsidRPr="00954C23">
        <w:rPr>
          <w:rFonts w:ascii="Times New Roman" w:hAnsi="Times New Roman" w:cs="Times New Roman"/>
          <w:sz w:val="24"/>
          <w:szCs w:val="24"/>
        </w:rPr>
        <w:t>Kapoor, S</w:t>
      </w:r>
      <w:r w:rsidR="00954C23">
        <w:rPr>
          <w:rFonts w:ascii="Times New Roman" w:hAnsi="Times New Roman" w:cs="Times New Roman"/>
          <w:sz w:val="24"/>
          <w:szCs w:val="24"/>
        </w:rPr>
        <w:t xml:space="preserve"> et al 2018)</w:t>
      </w:r>
      <w:r w:rsidR="00245659" w:rsidRPr="00954C23">
        <w:rPr>
          <w:rFonts w:ascii="Times New Roman" w:hAnsi="Times New Roman" w:cs="Times New Roman"/>
          <w:sz w:val="24"/>
          <w:szCs w:val="24"/>
        </w:rPr>
        <w:t>. This drug will provide another approach to its treatment and therefore, will solve the lack of enough blood for transfusion. Having approved in 2019, it has become highly sort medication by the patients due to its reliability and availability.</w:t>
      </w:r>
    </w:p>
    <w:p w14:paraId="353CDEA0" w14:textId="77777777" w:rsidR="00954C23" w:rsidRDefault="00954C23" w:rsidP="00954C23">
      <w:pPr>
        <w:spacing w:line="480" w:lineRule="auto"/>
        <w:ind w:firstLine="720"/>
        <w:rPr>
          <w:rFonts w:ascii="Times New Roman" w:hAnsi="Times New Roman" w:cs="Times New Roman"/>
          <w:sz w:val="24"/>
          <w:szCs w:val="24"/>
        </w:rPr>
      </w:pPr>
    </w:p>
    <w:p w14:paraId="4A30B175" w14:textId="77777777" w:rsidR="00954C23" w:rsidRDefault="00954C23" w:rsidP="00954C23">
      <w:pPr>
        <w:spacing w:line="480" w:lineRule="auto"/>
        <w:ind w:firstLine="720"/>
        <w:rPr>
          <w:rFonts w:ascii="Times New Roman" w:hAnsi="Times New Roman" w:cs="Times New Roman"/>
          <w:sz w:val="24"/>
          <w:szCs w:val="24"/>
        </w:rPr>
      </w:pPr>
    </w:p>
    <w:p w14:paraId="3C0FF831" w14:textId="77777777" w:rsidR="00954C23" w:rsidRDefault="00954C23" w:rsidP="00954C23">
      <w:pPr>
        <w:spacing w:line="480" w:lineRule="auto"/>
        <w:ind w:firstLine="720"/>
        <w:rPr>
          <w:rFonts w:ascii="Times New Roman" w:hAnsi="Times New Roman" w:cs="Times New Roman"/>
          <w:sz w:val="24"/>
          <w:szCs w:val="24"/>
        </w:rPr>
      </w:pPr>
    </w:p>
    <w:p w14:paraId="67AE54ED" w14:textId="77777777" w:rsidR="00954C23" w:rsidRDefault="00954C23" w:rsidP="00954C23">
      <w:pPr>
        <w:spacing w:line="480" w:lineRule="auto"/>
        <w:ind w:firstLine="720"/>
        <w:rPr>
          <w:rFonts w:ascii="Times New Roman" w:hAnsi="Times New Roman" w:cs="Times New Roman"/>
          <w:sz w:val="24"/>
          <w:szCs w:val="24"/>
        </w:rPr>
      </w:pPr>
    </w:p>
    <w:p w14:paraId="6F359FE9" w14:textId="25FCF2B9" w:rsidR="00245659" w:rsidRDefault="00425E2E" w:rsidP="00954C23">
      <w:pPr>
        <w:spacing w:line="480" w:lineRule="auto"/>
        <w:ind w:firstLine="720"/>
        <w:rPr>
          <w:rFonts w:ascii="Times New Roman" w:hAnsi="Times New Roman" w:cs="Times New Roman"/>
          <w:sz w:val="24"/>
          <w:szCs w:val="24"/>
        </w:rPr>
      </w:pPr>
      <w:r w:rsidRPr="00954C23">
        <w:rPr>
          <w:rFonts w:ascii="Times New Roman" w:hAnsi="Times New Roman" w:cs="Times New Roman"/>
          <w:sz w:val="24"/>
          <w:szCs w:val="24"/>
        </w:rPr>
        <w:lastRenderedPageBreak/>
        <w:t>Oxbryta operates by inhibiting the cells' abnormal property, which would lead to the required increase in hemoglobin levels. A unique factor about the drug is that unlike the blood transfusion methods that manage the symptoms of sickle cell, it aims to treat the root cause of the disease.</w:t>
      </w:r>
      <w:r w:rsidR="00FB257D" w:rsidRPr="00954C23">
        <w:rPr>
          <w:rFonts w:ascii="Times New Roman" w:hAnsi="Times New Roman" w:cs="Times New Roman"/>
          <w:sz w:val="24"/>
          <w:szCs w:val="24"/>
        </w:rPr>
        <w:t xml:space="preserve"> </w:t>
      </w:r>
      <w:r w:rsidRPr="00954C23">
        <w:rPr>
          <w:rFonts w:ascii="Times New Roman" w:hAnsi="Times New Roman" w:cs="Times New Roman"/>
          <w:sz w:val="24"/>
          <w:szCs w:val="24"/>
        </w:rPr>
        <w:t>The disease being inheritable has affected and spread throughout many individuals</w:t>
      </w:r>
      <w:r w:rsidR="00FB257D" w:rsidRPr="00954C23">
        <w:rPr>
          <w:rFonts w:ascii="Times New Roman" w:hAnsi="Times New Roman" w:cs="Times New Roman"/>
          <w:sz w:val="24"/>
          <w:szCs w:val="24"/>
        </w:rPr>
        <w:t>, and therefore the new approach in the medication process can eradicate the disease. The medicine is taken orally and is considered to be more available but can only be used by patients over twelve years old.</w:t>
      </w:r>
    </w:p>
    <w:p w14:paraId="73F868E3" w14:textId="1BDCC9D3" w:rsidR="00954C23" w:rsidRDefault="00954C23" w:rsidP="00954C23">
      <w:pPr>
        <w:spacing w:line="480" w:lineRule="auto"/>
        <w:ind w:firstLine="720"/>
        <w:rPr>
          <w:rFonts w:ascii="Times New Roman" w:hAnsi="Times New Roman" w:cs="Times New Roman"/>
          <w:sz w:val="24"/>
          <w:szCs w:val="24"/>
        </w:rPr>
      </w:pPr>
    </w:p>
    <w:p w14:paraId="003752C9" w14:textId="656FA629" w:rsidR="00954C23" w:rsidRDefault="00954C23" w:rsidP="00954C23">
      <w:pPr>
        <w:spacing w:line="480" w:lineRule="auto"/>
        <w:ind w:firstLine="720"/>
        <w:rPr>
          <w:rFonts w:ascii="Times New Roman" w:hAnsi="Times New Roman" w:cs="Times New Roman"/>
          <w:sz w:val="24"/>
          <w:szCs w:val="24"/>
        </w:rPr>
      </w:pPr>
    </w:p>
    <w:p w14:paraId="07465521" w14:textId="303C99DF" w:rsidR="00954C23" w:rsidRDefault="00954C23" w:rsidP="00954C23">
      <w:pPr>
        <w:spacing w:line="480" w:lineRule="auto"/>
        <w:ind w:firstLine="720"/>
        <w:rPr>
          <w:rFonts w:ascii="Times New Roman" w:hAnsi="Times New Roman" w:cs="Times New Roman"/>
          <w:sz w:val="24"/>
          <w:szCs w:val="24"/>
        </w:rPr>
      </w:pPr>
    </w:p>
    <w:p w14:paraId="1FE7D369" w14:textId="1BA61CFE" w:rsidR="00954C23" w:rsidRDefault="00954C23" w:rsidP="00954C23">
      <w:pPr>
        <w:spacing w:line="480" w:lineRule="auto"/>
        <w:ind w:firstLine="720"/>
        <w:rPr>
          <w:rFonts w:ascii="Times New Roman" w:hAnsi="Times New Roman" w:cs="Times New Roman"/>
          <w:sz w:val="24"/>
          <w:szCs w:val="24"/>
        </w:rPr>
      </w:pPr>
    </w:p>
    <w:p w14:paraId="4EB2F871" w14:textId="42F1DB6C" w:rsidR="00954C23" w:rsidRDefault="00954C23" w:rsidP="00954C23">
      <w:pPr>
        <w:spacing w:line="480" w:lineRule="auto"/>
        <w:ind w:firstLine="720"/>
        <w:rPr>
          <w:rFonts w:ascii="Times New Roman" w:hAnsi="Times New Roman" w:cs="Times New Roman"/>
          <w:sz w:val="24"/>
          <w:szCs w:val="24"/>
        </w:rPr>
      </w:pPr>
    </w:p>
    <w:p w14:paraId="537B85F1" w14:textId="44CE41DF" w:rsidR="00954C23" w:rsidRDefault="00954C23" w:rsidP="00954C23">
      <w:pPr>
        <w:spacing w:line="480" w:lineRule="auto"/>
        <w:ind w:firstLine="720"/>
        <w:rPr>
          <w:rFonts w:ascii="Times New Roman" w:hAnsi="Times New Roman" w:cs="Times New Roman"/>
          <w:sz w:val="24"/>
          <w:szCs w:val="24"/>
        </w:rPr>
      </w:pPr>
    </w:p>
    <w:p w14:paraId="37C1E141" w14:textId="23EB3AE7" w:rsidR="00954C23" w:rsidRDefault="00954C23" w:rsidP="00954C23">
      <w:pPr>
        <w:spacing w:line="480" w:lineRule="auto"/>
        <w:ind w:firstLine="720"/>
        <w:rPr>
          <w:rFonts w:ascii="Times New Roman" w:hAnsi="Times New Roman" w:cs="Times New Roman"/>
          <w:sz w:val="24"/>
          <w:szCs w:val="24"/>
        </w:rPr>
      </w:pPr>
    </w:p>
    <w:p w14:paraId="123F83EA" w14:textId="29B4733D" w:rsidR="00954C23" w:rsidRDefault="00954C23" w:rsidP="00954C23">
      <w:pPr>
        <w:spacing w:line="480" w:lineRule="auto"/>
        <w:ind w:firstLine="720"/>
        <w:rPr>
          <w:rFonts w:ascii="Times New Roman" w:hAnsi="Times New Roman" w:cs="Times New Roman"/>
          <w:sz w:val="24"/>
          <w:szCs w:val="24"/>
        </w:rPr>
      </w:pPr>
    </w:p>
    <w:p w14:paraId="0AB5ACBA" w14:textId="76B00C92" w:rsidR="00954C23" w:rsidRDefault="00954C23" w:rsidP="00954C23">
      <w:pPr>
        <w:spacing w:line="480" w:lineRule="auto"/>
        <w:ind w:firstLine="720"/>
        <w:rPr>
          <w:rFonts w:ascii="Times New Roman" w:hAnsi="Times New Roman" w:cs="Times New Roman"/>
          <w:sz w:val="24"/>
          <w:szCs w:val="24"/>
        </w:rPr>
      </w:pPr>
    </w:p>
    <w:p w14:paraId="5ADF354C" w14:textId="400C92FB" w:rsidR="00954C23" w:rsidRDefault="00954C23" w:rsidP="00954C23">
      <w:pPr>
        <w:spacing w:line="480" w:lineRule="auto"/>
        <w:ind w:firstLine="720"/>
        <w:rPr>
          <w:rFonts w:ascii="Times New Roman" w:hAnsi="Times New Roman" w:cs="Times New Roman"/>
          <w:sz w:val="24"/>
          <w:szCs w:val="24"/>
        </w:rPr>
      </w:pPr>
    </w:p>
    <w:p w14:paraId="3D6F7004" w14:textId="77291235" w:rsidR="00954C23" w:rsidRDefault="00954C23" w:rsidP="00954C23">
      <w:pPr>
        <w:spacing w:line="480" w:lineRule="auto"/>
        <w:ind w:firstLine="720"/>
        <w:rPr>
          <w:rFonts w:ascii="Times New Roman" w:hAnsi="Times New Roman" w:cs="Times New Roman"/>
          <w:sz w:val="24"/>
          <w:szCs w:val="24"/>
        </w:rPr>
      </w:pPr>
    </w:p>
    <w:p w14:paraId="7DAC6367" w14:textId="596E52D7" w:rsidR="00954C23" w:rsidRDefault="00954C23" w:rsidP="00954C23">
      <w:pPr>
        <w:spacing w:line="480" w:lineRule="auto"/>
        <w:ind w:firstLine="720"/>
        <w:rPr>
          <w:rFonts w:ascii="Times New Roman" w:hAnsi="Times New Roman" w:cs="Times New Roman"/>
          <w:sz w:val="24"/>
          <w:szCs w:val="24"/>
        </w:rPr>
      </w:pPr>
    </w:p>
    <w:p w14:paraId="66222937" w14:textId="46B4D3E0" w:rsidR="00954C23" w:rsidRDefault="00954C23" w:rsidP="00954C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2873838" w14:textId="77777777" w:rsidR="00954C23" w:rsidRPr="00954C23" w:rsidRDefault="00495B21" w:rsidP="00954C23">
      <w:pPr>
        <w:spacing w:line="480" w:lineRule="auto"/>
        <w:ind w:left="720" w:hanging="720"/>
        <w:rPr>
          <w:rFonts w:ascii="Times New Roman" w:hAnsi="Times New Roman" w:cs="Times New Roman"/>
          <w:sz w:val="24"/>
          <w:szCs w:val="24"/>
        </w:rPr>
      </w:pPr>
      <w:hyperlink r:id="rId6" w:history="1">
        <w:r w:rsidR="00954C23" w:rsidRPr="00954C23">
          <w:rPr>
            <w:rStyle w:val="Hyperlink"/>
            <w:rFonts w:ascii="Times New Roman" w:hAnsi="Times New Roman" w:cs="Times New Roman"/>
            <w:sz w:val="24"/>
            <w:szCs w:val="24"/>
          </w:rPr>
          <w:t>https://www.fda.gov/news-events/press-announcements/fda-approves-novel-treatment-target-abnormality-sickle-cell-disease</w:t>
        </w:r>
      </w:hyperlink>
    </w:p>
    <w:p w14:paraId="38848327" w14:textId="77777777" w:rsidR="00954C23" w:rsidRDefault="00954C23" w:rsidP="00954C23">
      <w:pPr>
        <w:spacing w:line="480" w:lineRule="auto"/>
        <w:ind w:left="720" w:hanging="720"/>
        <w:rPr>
          <w:rFonts w:ascii="Times New Roman" w:hAnsi="Times New Roman" w:cs="Times New Roman"/>
          <w:sz w:val="24"/>
          <w:szCs w:val="24"/>
        </w:rPr>
      </w:pPr>
      <w:bookmarkStart w:id="1" w:name="_Hlk46357309"/>
      <w:r w:rsidRPr="00954C23">
        <w:rPr>
          <w:rFonts w:ascii="Times New Roman" w:hAnsi="Times New Roman" w:cs="Times New Roman"/>
          <w:sz w:val="24"/>
          <w:szCs w:val="24"/>
        </w:rPr>
        <w:t xml:space="preserve">Kapoor, S., </w:t>
      </w:r>
      <w:bookmarkEnd w:id="1"/>
      <w:r w:rsidRPr="00954C23">
        <w:rPr>
          <w:rFonts w:ascii="Times New Roman" w:hAnsi="Times New Roman" w:cs="Times New Roman"/>
          <w:sz w:val="24"/>
          <w:szCs w:val="24"/>
        </w:rPr>
        <w:t>Little, J. A., &amp; Pecker, L. H. (2018, December). Advances in the treatment of sickle cell disease. In </w:t>
      </w:r>
      <w:r w:rsidRPr="00954C23">
        <w:rPr>
          <w:rFonts w:ascii="Times New Roman" w:hAnsi="Times New Roman" w:cs="Times New Roman"/>
          <w:i/>
          <w:iCs/>
          <w:sz w:val="24"/>
          <w:szCs w:val="24"/>
        </w:rPr>
        <w:t>Mayo Clinic Proceedings</w:t>
      </w:r>
      <w:r w:rsidRPr="00954C23">
        <w:rPr>
          <w:rFonts w:ascii="Times New Roman" w:hAnsi="Times New Roman" w:cs="Times New Roman"/>
          <w:sz w:val="24"/>
          <w:szCs w:val="24"/>
        </w:rPr>
        <w:t> (Vol. 93, No. 12, pp. 1810-1824). Elsevier.</w:t>
      </w:r>
    </w:p>
    <w:sectPr w:rsidR="00954C23" w:rsidSect="00954C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FCFD3" w14:textId="77777777" w:rsidR="00495B21" w:rsidRDefault="00495B21" w:rsidP="00954C23">
      <w:pPr>
        <w:spacing w:after="0" w:line="240" w:lineRule="auto"/>
      </w:pPr>
      <w:r>
        <w:separator/>
      </w:r>
    </w:p>
  </w:endnote>
  <w:endnote w:type="continuationSeparator" w:id="0">
    <w:p w14:paraId="5CECF496" w14:textId="77777777" w:rsidR="00495B21" w:rsidRDefault="00495B21" w:rsidP="00954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95656" w14:textId="77777777" w:rsidR="00495B21" w:rsidRDefault="00495B21" w:rsidP="00954C23">
      <w:pPr>
        <w:spacing w:after="0" w:line="240" w:lineRule="auto"/>
      </w:pPr>
      <w:r>
        <w:separator/>
      </w:r>
    </w:p>
  </w:footnote>
  <w:footnote w:type="continuationSeparator" w:id="0">
    <w:p w14:paraId="0115E1DA" w14:textId="77777777" w:rsidR="00495B21" w:rsidRDefault="00495B21" w:rsidP="00954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970320"/>
      <w:docPartObj>
        <w:docPartGallery w:val="Page Numbers (Top of Page)"/>
        <w:docPartUnique/>
      </w:docPartObj>
    </w:sdtPr>
    <w:sdtEndPr>
      <w:rPr>
        <w:noProof/>
      </w:rPr>
    </w:sdtEndPr>
    <w:sdtContent>
      <w:p w14:paraId="003A62B9" w14:textId="73E9DA9A" w:rsidR="00954C23" w:rsidRDefault="00954C23">
        <w:pPr>
          <w:pStyle w:val="Header"/>
          <w:jc w:val="right"/>
        </w:pPr>
        <w:r>
          <w:fldChar w:fldCharType="begin"/>
        </w:r>
        <w:r>
          <w:instrText xml:space="preserve"> PAGE   \* MERGEFORMAT </w:instrText>
        </w:r>
        <w:r>
          <w:fldChar w:fldCharType="separate"/>
        </w:r>
        <w:r w:rsidR="007936F0">
          <w:rPr>
            <w:noProof/>
          </w:rPr>
          <w:t>3</w:t>
        </w:r>
        <w:r>
          <w:rPr>
            <w:noProof/>
          </w:rPr>
          <w:fldChar w:fldCharType="end"/>
        </w:r>
      </w:p>
    </w:sdtContent>
  </w:sdt>
  <w:p w14:paraId="13C2B2D5" w14:textId="56FC138E" w:rsidR="00954C23" w:rsidRDefault="00954C23">
    <w:pPr>
      <w:pStyle w:val="Header"/>
    </w:pPr>
    <w:bookmarkStart w:id="2" w:name="_Hlk46357521"/>
    <w:bookmarkStart w:id="3" w:name="_Hlk46357522"/>
    <w:bookmarkStart w:id="4" w:name="_Hlk46357527"/>
    <w:bookmarkStart w:id="5" w:name="_Hlk46357528"/>
    <w:bookmarkStart w:id="6" w:name="_Hlk46357529"/>
    <w:bookmarkStart w:id="7" w:name="_Hlk46357530"/>
    <w:r>
      <w:t>OXBRYTA (VOXELOTOR).</w:t>
    </w:r>
    <w:bookmarkEnd w:id="2"/>
    <w:bookmarkEnd w:id="3"/>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C7A4A" w14:textId="77777777" w:rsidR="00954C23" w:rsidRPr="00954C23" w:rsidRDefault="00954C23" w:rsidP="00954C23">
    <w:pPr>
      <w:pStyle w:val="Header"/>
    </w:pPr>
    <w:r>
      <w:t xml:space="preserve">Running Head: </w:t>
    </w:r>
    <w:r w:rsidRPr="00954C23">
      <w:t>OXBRYTA (VOXELOTOR).</w:t>
    </w:r>
  </w:p>
  <w:p w14:paraId="147F0D54" w14:textId="4D7C5F0B" w:rsidR="00954C23" w:rsidRDefault="00954C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0F4"/>
    <w:rsid w:val="000B70F4"/>
    <w:rsid w:val="000F0CC0"/>
    <w:rsid w:val="00245659"/>
    <w:rsid w:val="00273E6F"/>
    <w:rsid w:val="002E7B38"/>
    <w:rsid w:val="00415947"/>
    <w:rsid w:val="00425E2E"/>
    <w:rsid w:val="00495B21"/>
    <w:rsid w:val="007936F0"/>
    <w:rsid w:val="00954C23"/>
    <w:rsid w:val="009D5DA4"/>
    <w:rsid w:val="00BB4588"/>
    <w:rsid w:val="00FB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E6B26"/>
  <w15:chartTrackingRefBased/>
  <w15:docId w15:val="{3B156839-74F4-4FFA-A96C-0B0EABF9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C23"/>
    <w:rPr>
      <w:color w:val="0000FF" w:themeColor="hyperlink"/>
      <w:u w:val="single"/>
    </w:rPr>
  </w:style>
  <w:style w:type="character" w:customStyle="1" w:styleId="UnresolvedMention">
    <w:name w:val="Unresolved Mention"/>
    <w:basedOn w:val="DefaultParagraphFont"/>
    <w:uiPriority w:val="99"/>
    <w:rsid w:val="00954C23"/>
    <w:rPr>
      <w:color w:val="605E5C"/>
      <w:shd w:val="clear" w:color="auto" w:fill="E1DFDD"/>
    </w:rPr>
  </w:style>
  <w:style w:type="paragraph" w:styleId="Header">
    <w:name w:val="header"/>
    <w:basedOn w:val="Normal"/>
    <w:link w:val="HeaderChar"/>
    <w:uiPriority w:val="99"/>
    <w:unhideWhenUsed/>
    <w:rsid w:val="00954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C23"/>
  </w:style>
  <w:style w:type="paragraph" w:styleId="Footer">
    <w:name w:val="footer"/>
    <w:basedOn w:val="Normal"/>
    <w:link w:val="FooterChar"/>
    <w:uiPriority w:val="99"/>
    <w:unhideWhenUsed/>
    <w:rsid w:val="00954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da.gov/news-events/press-announcements/fda-approves-novel-treatment-target-abnormality-sickle-cell-disea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2020-07-22T22:49:00Z</dcterms:created>
  <dcterms:modified xsi:type="dcterms:W3CDTF">2020-07-22T22:49:00Z</dcterms:modified>
</cp:coreProperties>
</file>